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74E18">
      <w:pPr>
        <w:jc w:val="center"/>
        <w:rPr>
          <w:b/>
          <w:sz w:val="24"/>
        </w:rPr>
      </w:pPr>
    </w:p>
    <w:p w:rsidR="00000000" w:rsidRDefault="00674E18">
      <w:pPr>
        <w:jc w:val="center"/>
        <w:rPr>
          <w:b/>
          <w:sz w:val="24"/>
        </w:rPr>
      </w:pPr>
    </w:p>
    <w:p w:rsidR="00000000" w:rsidRDefault="00674E18">
      <w:pPr>
        <w:jc w:val="center"/>
        <w:rPr>
          <w:b/>
          <w:sz w:val="24"/>
        </w:rPr>
      </w:pPr>
    </w:p>
    <w:p w:rsidR="00000000" w:rsidRDefault="00674E18">
      <w:pPr>
        <w:jc w:val="center"/>
        <w:rPr>
          <w:b/>
          <w:sz w:val="24"/>
        </w:rPr>
      </w:pPr>
      <w:r>
        <w:rPr>
          <w:b/>
          <w:sz w:val="24"/>
        </w:rPr>
        <w:t>IN THE COURT OF COMMON PLEAS</w:t>
      </w:r>
    </w:p>
    <w:p w:rsidR="00000000" w:rsidRDefault="00674E18">
      <w:pPr>
        <w:jc w:val="center"/>
        <w:rPr>
          <w:b/>
          <w:sz w:val="24"/>
        </w:rPr>
      </w:pPr>
      <w:r>
        <w:rPr>
          <w:b/>
          <w:sz w:val="24"/>
        </w:rPr>
        <w:t>HAMILTON COUNTY, OHIO</w:t>
      </w:r>
    </w:p>
    <w:p w:rsidR="00000000" w:rsidRDefault="00674E18">
      <w:pPr>
        <w:jc w:val="center"/>
        <w:rPr>
          <w:b/>
          <w:sz w:val="24"/>
        </w:rPr>
      </w:pPr>
    </w:p>
    <w:p w:rsidR="00000000" w:rsidRDefault="00674E18">
      <w:pPr>
        <w:jc w:val="center"/>
        <w:rPr>
          <w:b/>
          <w:sz w:val="24"/>
        </w:rPr>
      </w:pPr>
    </w:p>
    <w:p w:rsidR="00000000" w:rsidRDefault="00674E18">
      <w:pPr>
        <w:jc w:val="both"/>
        <w:rPr>
          <w:b/>
          <w:sz w:val="24"/>
        </w:rPr>
      </w:pPr>
    </w:p>
    <w:p w:rsidR="00000000" w:rsidRDefault="00674E18">
      <w:pPr>
        <w:jc w:val="both"/>
        <w:rPr>
          <w:b/>
          <w:sz w:val="24"/>
        </w:rPr>
      </w:pPr>
      <w:r>
        <w:rPr>
          <w:b/>
          <w:sz w:val="24"/>
        </w:rPr>
        <w:t>SHELLY CARNES</w:t>
      </w:r>
      <w:r>
        <w:rPr>
          <w:b/>
          <w:sz w:val="24"/>
        </w:rPr>
        <w:tab/>
      </w:r>
      <w:r>
        <w:rPr>
          <w:b/>
          <w:sz w:val="24"/>
        </w:rPr>
        <w:tab/>
      </w:r>
      <w:r>
        <w:rPr>
          <w:b/>
          <w:sz w:val="24"/>
        </w:rPr>
        <w:tab/>
      </w:r>
      <w:r>
        <w:rPr>
          <w:b/>
          <w:sz w:val="24"/>
        </w:rPr>
        <w:tab/>
        <w:t>)</w:t>
      </w:r>
      <w:r>
        <w:rPr>
          <w:b/>
          <w:sz w:val="24"/>
        </w:rPr>
        <w:tab/>
        <w:t>Case No. A97-01226</w:t>
      </w:r>
    </w:p>
    <w:p w:rsidR="00000000" w:rsidRDefault="00674E18">
      <w:pPr>
        <w:jc w:val="both"/>
        <w:rPr>
          <w:b/>
          <w:sz w:val="24"/>
        </w:rPr>
      </w:pPr>
      <w:r>
        <w:rPr>
          <w:b/>
          <w:sz w:val="24"/>
        </w:rPr>
        <w:tab/>
      </w:r>
      <w:r>
        <w:rPr>
          <w:b/>
          <w:sz w:val="24"/>
        </w:rPr>
        <w:tab/>
      </w:r>
      <w:r>
        <w:rPr>
          <w:b/>
          <w:sz w:val="24"/>
        </w:rPr>
        <w:tab/>
      </w:r>
      <w:r>
        <w:rPr>
          <w:b/>
          <w:sz w:val="24"/>
        </w:rPr>
        <w:tab/>
      </w:r>
      <w:r>
        <w:rPr>
          <w:b/>
          <w:sz w:val="24"/>
        </w:rPr>
        <w:tab/>
        <w:t xml:space="preserve"> </w:t>
      </w:r>
      <w:r>
        <w:rPr>
          <w:b/>
          <w:sz w:val="24"/>
        </w:rPr>
        <w:tab/>
      </w:r>
    </w:p>
    <w:p w:rsidR="00000000" w:rsidRDefault="00674E18">
      <w:pPr>
        <w:jc w:val="both"/>
        <w:rPr>
          <w:b/>
          <w:sz w:val="24"/>
        </w:rPr>
      </w:pPr>
      <w:r>
        <w:rPr>
          <w:b/>
          <w:sz w:val="24"/>
        </w:rPr>
        <w:tab/>
      </w:r>
      <w:r>
        <w:rPr>
          <w:b/>
          <w:sz w:val="24"/>
        </w:rPr>
        <w:tab/>
      </w:r>
      <w:r>
        <w:rPr>
          <w:b/>
          <w:sz w:val="24"/>
        </w:rPr>
        <w:tab/>
        <w:t>Plaintiff,</w:t>
      </w:r>
      <w:r>
        <w:rPr>
          <w:b/>
          <w:sz w:val="24"/>
        </w:rPr>
        <w:tab/>
      </w:r>
      <w:r>
        <w:rPr>
          <w:b/>
          <w:sz w:val="24"/>
        </w:rPr>
        <w:tab/>
        <w:t>)</w:t>
      </w:r>
      <w:r>
        <w:rPr>
          <w:b/>
          <w:sz w:val="24"/>
        </w:rPr>
        <w:tab/>
        <w:t xml:space="preserve"> </w:t>
      </w:r>
      <w:r>
        <w:rPr>
          <w:b/>
          <w:sz w:val="24"/>
        </w:rPr>
        <w:tab/>
      </w:r>
    </w:p>
    <w:p w:rsidR="00000000" w:rsidRDefault="00674E18">
      <w:pPr>
        <w:jc w:val="both"/>
        <w:rPr>
          <w:b/>
          <w:sz w:val="24"/>
        </w:rPr>
      </w:pPr>
      <w:r>
        <w:rPr>
          <w:b/>
          <w:sz w:val="24"/>
        </w:rPr>
        <w:tab/>
      </w:r>
      <w:r>
        <w:rPr>
          <w:b/>
          <w:sz w:val="24"/>
        </w:rPr>
        <w:tab/>
      </w:r>
      <w:r>
        <w:rPr>
          <w:b/>
          <w:sz w:val="24"/>
        </w:rPr>
        <w:tab/>
      </w:r>
      <w:r>
        <w:rPr>
          <w:b/>
          <w:sz w:val="24"/>
        </w:rPr>
        <w:tab/>
      </w:r>
      <w:r>
        <w:rPr>
          <w:b/>
          <w:sz w:val="24"/>
        </w:rPr>
        <w:tab/>
      </w:r>
      <w:r>
        <w:rPr>
          <w:b/>
          <w:sz w:val="24"/>
        </w:rPr>
        <w:tab/>
      </w:r>
      <w:r>
        <w:rPr>
          <w:b/>
          <w:sz w:val="24"/>
        </w:rPr>
        <w:tab/>
        <w:t>HON. NORBERT A. NADEL</w:t>
      </w:r>
    </w:p>
    <w:p w:rsidR="00000000" w:rsidRDefault="00674E18">
      <w:pPr>
        <w:jc w:val="both"/>
        <w:rPr>
          <w:b/>
          <w:sz w:val="24"/>
        </w:rPr>
      </w:pPr>
      <w:r>
        <w:rPr>
          <w:b/>
          <w:sz w:val="24"/>
        </w:rPr>
        <w:t>v</w:t>
      </w:r>
      <w:r>
        <w:rPr>
          <w:b/>
          <w:sz w:val="24"/>
        </w:rPr>
        <w:t>.</w:t>
      </w:r>
      <w:r>
        <w:rPr>
          <w:b/>
          <w:sz w:val="24"/>
        </w:rPr>
        <w:tab/>
      </w:r>
      <w:r>
        <w:rPr>
          <w:b/>
          <w:sz w:val="24"/>
        </w:rPr>
        <w:tab/>
      </w:r>
      <w:r>
        <w:rPr>
          <w:b/>
          <w:sz w:val="24"/>
        </w:rPr>
        <w:tab/>
      </w:r>
      <w:r>
        <w:rPr>
          <w:b/>
          <w:sz w:val="24"/>
        </w:rPr>
        <w:tab/>
      </w:r>
      <w:r>
        <w:rPr>
          <w:b/>
          <w:sz w:val="24"/>
        </w:rPr>
        <w:tab/>
      </w:r>
      <w:r>
        <w:rPr>
          <w:b/>
          <w:sz w:val="24"/>
        </w:rPr>
        <w:tab/>
        <w:t>)</w:t>
      </w:r>
      <w:r>
        <w:rPr>
          <w:b/>
          <w:sz w:val="24"/>
        </w:rPr>
        <w:tab/>
        <w:t>(HON. RICHARD A. BERNAT)</w:t>
      </w:r>
      <w:r>
        <w:rPr>
          <w:b/>
          <w:sz w:val="24"/>
        </w:rPr>
        <w:tab/>
      </w:r>
    </w:p>
    <w:p w:rsidR="00000000" w:rsidRDefault="00674E18">
      <w:pPr>
        <w:jc w:val="both"/>
        <w:rPr>
          <w:b/>
          <w:sz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p w:rsidR="00000000" w:rsidRDefault="00674E18">
      <w:pPr>
        <w:jc w:val="both"/>
        <w:rPr>
          <w:b/>
          <w:sz w:val="24"/>
        </w:rPr>
      </w:pPr>
      <w:r>
        <w:rPr>
          <w:b/>
          <w:sz w:val="24"/>
        </w:rPr>
        <w:t>MARK B. HANDLER, M.D., et</w:t>
      </w:r>
      <w:r>
        <w:rPr>
          <w:b/>
          <w:sz w:val="24"/>
        </w:rPr>
        <w:tab/>
      </w:r>
      <w:r>
        <w:rPr>
          <w:b/>
          <w:sz w:val="24"/>
        </w:rPr>
        <w:tab/>
        <w:t>)</w:t>
      </w:r>
      <w:r>
        <w:rPr>
          <w:b/>
          <w:sz w:val="24"/>
        </w:rPr>
        <w:tab/>
        <w:t>PLAINTIFF’S MOTION</w:t>
      </w:r>
    </w:p>
    <w:p w:rsidR="00000000" w:rsidRDefault="00674E18">
      <w:pPr>
        <w:jc w:val="both"/>
        <w:rPr>
          <w:b/>
          <w:sz w:val="24"/>
        </w:rPr>
      </w:pPr>
      <w:r>
        <w:rPr>
          <w:b/>
          <w:sz w:val="24"/>
        </w:rPr>
        <w:t>al.</w:t>
      </w:r>
      <w:r>
        <w:rPr>
          <w:b/>
          <w:sz w:val="24"/>
        </w:rPr>
        <w:tab/>
      </w:r>
      <w:r>
        <w:rPr>
          <w:b/>
          <w:sz w:val="24"/>
        </w:rPr>
        <w:tab/>
      </w:r>
      <w:r>
        <w:rPr>
          <w:b/>
          <w:sz w:val="24"/>
        </w:rPr>
        <w:tab/>
      </w:r>
      <w:r>
        <w:rPr>
          <w:b/>
          <w:sz w:val="24"/>
        </w:rPr>
        <w:tab/>
      </w:r>
      <w:r>
        <w:rPr>
          <w:b/>
          <w:sz w:val="24"/>
        </w:rPr>
        <w:tab/>
      </w:r>
      <w:r>
        <w:rPr>
          <w:b/>
          <w:sz w:val="24"/>
        </w:rPr>
        <w:tab/>
      </w:r>
      <w:r>
        <w:rPr>
          <w:b/>
          <w:sz w:val="24"/>
        </w:rPr>
        <w:tab/>
      </w:r>
      <w:r>
        <w:rPr>
          <w:b/>
          <w:i/>
          <w:sz w:val="24"/>
        </w:rPr>
        <w:t>IN LIMINE</w:t>
      </w:r>
      <w:r>
        <w:rPr>
          <w:b/>
          <w:sz w:val="24"/>
        </w:rPr>
        <w:t xml:space="preserve"> REGARDING</w:t>
      </w:r>
      <w:r>
        <w:rPr>
          <w:b/>
          <w:sz w:val="24"/>
        </w:rPr>
        <w:tab/>
      </w:r>
    </w:p>
    <w:p w:rsidR="00000000" w:rsidRDefault="00674E18">
      <w:pPr>
        <w:jc w:val="both"/>
        <w:rPr>
          <w:b/>
          <w:sz w:val="24"/>
        </w:rPr>
      </w:pPr>
      <w:r>
        <w:rPr>
          <w:b/>
          <w:sz w:val="24"/>
        </w:rPr>
        <w:tab/>
      </w:r>
      <w:r>
        <w:rPr>
          <w:b/>
          <w:sz w:val="24"/>
        </w:rPr>
        <w:tab/>
      </w:r>
      <w:r>
        <w:rPr>
          <w:b/>
          <w:sz w:val="24"/>
        </w:rPr>
        <w:tab/>
        <w:t>Defendants.</w:t>
      </w:r>
      <w:r>
        <w:rPr>
          <w:b/>
          <w:sz w:val="24"/>
        </w:rPr>
        <w:tab/>
      </w:r>
      <w:r>
        <w:rPr>
          <w:b/>
          <w:sz w:val="24"/>
        </w:rPr>
        <w:tab/>
        <w:t>)</w:t>
      </w:r>
      <w:r>
        <w:rPr>
          <w:b/>
          <w:sz w:val="24"/>
        </w:rPr>
        <w:tab/>
        <w:t>INFORMED CONSENT</w:t>
      </w:r>
    </w:p>
    <w:p w:rsidR="00000000" w:rsidRDefault="00674E18">
      <w:pPr>
        <w:jc w:val="both"/>
        <w:rPr>
          <w:b/>
          <w:sz w:val="24"/>
        </w:rPr>
      </w:pPr>
    </w:p>
    <w:p w:rsidR="00000000" w:rsidRDefault="00674E18">
      <w:pPr>
        <w:pBdr>
          <w:bottom w:val="single" w:sz="12" w:space="1" w:color="auto"/>
        </w:pBdr>
        <w:jc w:val="both"/>
        <w:rPr>
          <w:b/>
          <w:sz w:val="24"/>
          <w:u w:val="single"/>
        </w:rPr>
      </w:pPr>
    </w:p>
    <w:p w:rsidR="00000000" w:rsidRDefault="00674E18">
      <w:pPr>
        <w:jc w:val="both"/>
        <w:rPr>
          <w:sz w:val="24"/>
          <w:u w:val="single"/>
        </w:rPr>
      </w:pPr>
    </w:p>
    <w:p w:rsidR="00000000" w:rsidRDefault="00674E18">
      <w:pPr>
        <w:spacing w:line="480" w:lineRule="auto"/>
        <w:jc w:val="both"/>
        <w:rPr>
          <w:sz w:val="24"/>
        </w:rPr>
      </w:pPr>
      <w:r>
        <w:rPr>
          <w:sz w:val="24"/>
        </w:rPr>
        <w:tab/>
        <w:t>This medical malpractice action involves cosmetic surgery known as “suction lipectomy” or “liposuction”.  Plaintiff retained Defendant Mark B. Handler, M.D. to perform liposuction in the areas of her hips and thighs in order to improve her appearance.  Unfortunately, Dr. Handler’s surgery left Ms. Carnes permanently disfigured and in chronic pain.  A jury trial is scheduled to begin on September 27, 1999.</w:t>
      </w:r>
    </w:p>
    <w:p w:rsidR="00000000" w:rsidRDefault="00674E18">
      <w:pPr>
        <w:spacing w:line="480" w:lineRule="auto"/>
        <w:jc w:val="both"/>
        <w:rPr>
          <w:sz w:val="24"/>
        </w:rPr>
      </w:pPr>
      <w:r>
        <w:rPr>
          <w:sz w:val="24"/>
        </w:rPr>
        <w:tab/>
        <w:t>As part of their case, Defendants may seek</w:t>
      </w:r>
      <w:r>
        <w:rPr>
          <w:sz w:val="24"/>
        </w:rPr>
        <w:t xml:space="preserve"> to introduce the standard preoperative consent forms signed by Ms. Carnes, and may also attempt to introduce evidence that Plaintiff was otherwise warned of the possibility of surgical complications.  In that way, Dr. Handler will hope to escape the consequences of his surgical negligence by persuading the jury that Shelly Carnes somehow assumed the risk that the operation would cause disfigurement and lifelong pain.  Such and argument could confuse the jury, which may not recognize the critical distinctio</w:t>
      </w:r>
      <w:r>
        <w:rPr>
          <w:sz w:val="24"/>
        </w:rPr>
        <w:t>n between a patient accepting a small but unavoidable risk, and a doctor attempting to contract-away his liability for malpractice.</w:t>
      </w:r>
    </w:p>
    <w:p w:rsidR="00000000" w:rsidRDefault="00674E18">
      <w:pPr>
        <w:spacing w:line="480" w:lineRule="auto"/>
        <w:jc w:val="both"/>
        <w:rPr>
          <w:sz w:val="24"/>
        </w:rPr>
      </w:pPr>
      <w:r>
        <w:rPr>
          <w:sz w:val="24"/>
        </w:rPr>
        <w:lastRenderedPageBreak/>
        <w:tab/>
        <w:t xml:space="preserve">The concepts of medical negligence and lack of informed consent are separate and distinct.  The former involves the physician’s duty to perform competently at all times.  The latter concerns a patient’s right to be informed of risks that cannot be avoided even through the best of care.  As one Ohio Appellate Court recently made clear, “informed consent” is </w:t>
      </w:r>
      <w:r>
        <w:rPr>
          <w:sz w:val="24"/>
          <w:u w:val="single"/>
        </w:rPr>
        <w:t>not</w:t>
      </w:r>
      <w:r>
        <w:rPr>
          <w:sz w:val="24"/>
        </w:rPr>
        <w:t xml:space="preserve"> a defense to a p</w:t>
      </w:r>
      <w:r>
        <w:rPr>
          <w:sz w:val="24"/>
        </w:rPr>
        <w:t xml:space="preserve">hysician’s failure to render appropriate and competent medical services.  </w:t>
      </w:r>
      <w:r>
        <w:rPr>
          <w:i/>
          <w:sz w:val="24"/>
        </w:rPr>
        <w:t>Waller v. Aggarwal</w:t>
      </w:r>
      <w:r>
        <w:rPr>
          <w:sz w:val="24"/>
        </w:rPr>
        <w:t>, 116 Ohio App. 3d 355 (Trumbull Co. 1996).  Writing for a unanimous court, Judge Nader stated:</w:t>
      </w:r>
    </w:p>
    <w:p w:rsidR="00000000" w:rsidRDefault="00674E18">
      <w:pPr>
        <w:ind w:left="1440" w:right="720" w:firstLine="720"/>
        <w:jc w:val="both"/>
        <w:rPr>
          <w:sz w:val="24"/>
        </w:rPr>
      </w:pPr>
      <w:r>
        <w:rPr>
          <w:sz w:val="24"/>
        </w:rPr>
        <w:t>As appellant correctly contends, the action brought against appellee sounded in negligence.  It did not sound in battery for a nonconsensual procedure.  Nor did appellant allege that she was not fully apprised of the risks of the procedure.  Instead, appellant alleged that appellee negligently performed the procedure.  The</w:t>
      </w:r>
      <w:r>
        <w:rPr>
          <w:sz w:val="24"/>
        </w:rPr>
        <w:t xml:space="preserve"> fact that appellee informed appellant that injury to the bladder was a possible risk of the procedure could not be a defense to the claim of negligence brought by appellant.  Thus, the admission of evidence pertaining to that issue and references to that issue carried great potential for the confusion of the jury.</w:t>
      </w:r>
    </w:p>
    <w:p w:rsidR="00000000" w:rsidRDefault="00674E18">
      <w:pPr>
        <w:ind w:left="1440" w:right="720"/>
        <w:jc w:val="both"/>
        <w:rPr>
          <w:sz w:val="24"/>
        </w:rPr>
      </w:pPr>
      <w:r>
        <w:rPr>
          <w:sz w:val="24"/>
        </w:rPr>
        <w:tab/>
        <w:t>As a result, we hold that the references to informed consent made during the trial constituted plain error, as they were both apparent on their face and prejudicial.</w:t>
      </w:r>
    </w:p>
    <w:p w:rsidR="00000000" w:rsidRDefault="00674E18">
      <w:pPr>
        <w:ind w:left="1440" w:right="720"/>
        <w:jc w:val="both"/>
        <w:rPr>
          <w:sz w:val="24"/>
        </w:rPr>
      </w:pPr>
    </w:p>
    <w:p w:rsidR="00000000" w:rsidRDefault="00674E18">
      <w:pPr>
        <w:ind w:left="1440" w:right="720"/>
        <w:jc w:val="center"/>
        <w:rPr>
          <w:sz w:val="24"/>
        </w:rPr>
      </w:pPr>
      <w:r>
        <w:rPr>
          <w:sz w:val="24"/>
        </w:rPr>
        <w:t>*</w:t>
      </w:r>
      <w:r>
        <w:rPr>
          <w:sz w:val="24"/>
        </w:rPr>
        <w:tab/>
        <w:t>*</w:t>
      </w:r>
      <w:r>
        <w:rPr>
          <w:sz w:val="24"/>
        </w:rPr>
        <w:tab/>
        <w:t>*</w:t>
      </w:r>
      <w:r>
        <w:rPr>
          <w:sz w:val="24"/>
        </w:rPr>
        <w:tab/>
        <w:t>*</w:t>
      </w:r>
      <w:r>
        <w:rPr>
          <w:sz w:val="24"/>
        </w:rPr>
        <w:tab/>
        <w:t>*</w:t>
      </w:r>
    </w:p>
    <w:p w:rsidR="00000000" w:rsidRDefault="00674E18">
      <w:pPr>
        <w:ind w:left="1440" w:right="720"/>
        <w:jc w:val="both"/>
        <w:rPr>
          <w:sz w:val="24"/>
        </w:rPr>
      </w:pPr>
      <w:r>
        <w:rPr>
          <w:sz w:val="24"/>
        </w:rPr>
        <w:tab/>
        <w:t>With regard to t</w:t>
      </w:r>
      <w:r>
        <w:rPr>
          <w:sz w:val="24"/>
        </w:rPr>
        <w:t>he jury interrogatory, it is clear that the language employed demonstrates the confusion of the issues.  The fact that appellant consented to the procedure and was informed of its risks did not result in a “waiver of her rights”.  It did not grant consent for the procedure to be performed negligently, and it did not waive appellant’s right to recourse in the event the procedure was performed negligently.</w:t>
      </w:r>
    </w:p>
    <w:p w:rsidR="00000000" w:rsidRDefault="00674E18">
      <w:pPr>
        <w:ind w:left="1440" w:right="720"/>
        <w:jc w:val="both"/>
        <w:rPr>
          <w:sz w:val="24"/>
        </w:rPr>
      </w:pPr>
    </w:p>
    <w:p w:rsidR="00000000" w:rsidRDefault="00674E18">
      <w:pPr>
        <w:spacing w:line="480" w:lineRule="auto"/>
        <w:jc w:val="both"/>
        <w:rPr>
          <w:sz w:val="24"/>
        </w:rPr>
      </w:pPr>
      <w:r>
        <w:rPr>
          <w:sz w:val="24"/>
        </w:rPr>
        <w:t>116 Ohio App. at pp. 357-358</w:t>
      </w:r>
      <w:r>
        <w:rPr>
          <w:rStyle w:val="FootnoteReference"/>
          <w:sz w:val="24"/>
        </w:rPr>
        <w:footnoteReference w:id="2"/>
      </w:r>
      <w:r>
        <w:rPr>
          <w:sz w:val="24"/>
        </w:rPr>
        <w:t>.</w:t>
      </w:r>
    </w:p>
    <w:p w:rsidR="00000000" w:rsidRDefault="00674E18">
      <w:pPr>
        <w:spacing w:line="480" w:lineRule="auto"/>
        <w:jc w:val="both"/>
        <w:rPr>
          <w:sz w:val="24"/>
        </w:rPr>
      </w:pPr>
      <w:r>
        <w:rPr>
          <w:sz w:val="24"/>
        </w:rPr>
        <w:tab/>
      </w:r>
    </w:p>
    <w:p w:rsidR="00000000" w:rsidRDefault="00674E18">
      <w:pPr>
        <w:spacing w:line="480" w:lineRule="auto"/>
        <w:jc w:val="both"/>
        <w:rPr>
          <w:sz w:val="24"/>
        </w:rPr>
      </w:pPr>
    </w:p>
    <w:p w:rsidR="00000000" w:rsidRDefault="00674E18">
      <w:pPr>
        <w:spacing w:line="480" w:lineRule="auto"/>
        <w:ind w:firstLine="720"/>
        <w:jc w:val="both"/>
        <w:rPr>
          <w:sz w:val="24"/>
        </w:rPr>
      </w:pPr>
    </w:p>
    <w:p w:rsidR="00000000" w:rsidRDefault="00674E18">
      <w:pPr>
        <w:spacing w:line="480" w:lineRule="auto"/>
        <w:ind w:firstLine="720"/>
        <w:jc w:val="both"/>
        <w:rPr>
          <w:sz w:val="24"/>
        </w:rPr>
      </w:pPr>
      <w:r>
        <w:rPr>
          <w:sz w:val="24"/>
        </w:rPr>
        <w:lastRenderedPageBreak/>
        <w:t>Plaintiffs have not plead, and do not intend to pursue, a claim of l</w:t>
      </w:r>
      <w:r>
        <w:rPr>
          <w:sz w:val="24"/>
        </w:rPr>
        <w:t xml:space="preserve">ack of informed consent.  Thus, any testimony or documentary evidence pertaining to that issue would be legally irrelevant, and could only serve to confuse the jury on the relevant issue of Defendants’ medical and surgical negligence.  For that reason, Plaintiffs move the Court, </w:t>
      </w:r>
      <w:r>
        <w:rPr>
          <w:i/>
          <w:sz w:val="24"/>
        </w:rPr>
        <w:t>in limine</w:t>
      </w:r>
      <w:r>
        <w:rPr>
          <w:sz w:val="24"/>
        </w:rPr>
        <w:t>, to order that no such evidence or argument will be allowed.</w:t>
      </w:r>
      <w:r>
        <w:rPr>
          <w:rStyle w:val="FootnoteReference"/>
          <w:sz w:val="24"/>
        </w:rPr>
        <w:footnoteReference w:id="3"/>
      </w:r>
    </w:p>
    <w:p w:rsidR="00000000" w:rsidRDefault="00674E18">
      <w:pPr>
        <w:spacing w:line="480" w:lineRule="auto"/>
        <w:ind w:left="4320" w:firstLine="720"/>
        <w:jc w:val="both"/>
        <w:rPr>
          <w:sz w:val="24"/>
        </w:rPr>
      </w:pPr>
      <w:r>
        <w:rPr>
          <w:sz w:val="24"/>
        </w:rPr>
        <w:t>Respectfully submitted.</w:t>
      </w:r>
    </w:p>
    <w:p w:rsidR="00000000" w:rsidRDefault="00674E18">
      <w:pPr>
        <w:spacing w:line="480" w:lineRule="auto"/>
        <w:jc w:val="both"/>
        <w:rPr>
          <w:b/>
          <w:sz w:val="24"/>
        </w:rPr>
      </w:pPr>
      <w:r>
        <w:rPr>
          <w:sz w:val="24"/>
        </w:rPr>
        <w:tab/>
      </w:r>
      <w:r>
        <w:rPr>
          <w:sz w:val="24"/>
        </w:rPr>
        <w:tab/>
      </w:r>
      <w:r>
        <w:rPr>
          <w:sz w:val="24"/>
        </w:rPr>
        <w:tab/>
      </w:r>
      <w:r>
        <w:rPr>
          <w:sz w:val="24"/>
        </w:rPr>
        <w:tab/>
      </w:r>
      <w:r>
        <w:rPr>
          <w:sz w:val="24"/>
        </w:rPr>
        <w:tab/>
      </w:r>
      <w:r>
        <w:rPr>
          <w:sz w:val="24"/>
        </w:rPr>
        <w:tab/>
      </w:r>
      <w:r>
        <w:rPr>
          <w:sz w:val="24"/>
        </w:rPr>
        <w:tab/>
      </w:r>
      <w:r>
        <w:rPr>
          <w:b/>
          <w:sz w:val="24"/>
        </w:rPr>
        <w:t>Mark B. Smith Co., L.P.A.</w:t>
      </w:r>
    </w:p>
    <w:p w:rsidR="00000000" w:rsidRDefault="00674E18">
      <w:pPr>
        <w:spacing w:line="480" w:lineRule="auto"/>
        <w:jc w:val="both"/>
        <w:rPr>
          <w:b/>
          <w:sz w:val="24"/>
        </w:rPr>
      </w:pPr>
    </w:p>
    <w:p w:rsidR="00000000" w:rsidRDefault="00674E18">
      <w:pPr>
        <w:jc w:val="both"/>
        <w:rPr>
          <w:b/>
          <w:sz w:val="24"/>
        </w:rPr>
      </w:pPr>
      <w:r>
        <w:rPr>
          <w:b/>
          <w:sz w:val="24"/>
        </w:rPr>
        <w:tab/>
      </w:r>
      <w:r>
        <w:rPr>
          <w:b/>
          <w:sz w:val="24"/>
        </w:rPr>
        <w:tab/>
      </w:r>
      <w:r>
        <w:rPr>
          <w:b/>
          <w:sz w:val="24"/>
        </w:rPr>
        <w:tab/>
      </w:r>
      <w:r>
        <w:rPr>
          <w:b/>
          <w:sz w:val="24"/>
        </w:rPr>
        <w:tab/>
      </w:r>
      <w:r>
        <w:rPr>
          <w:b/>
          <w:sz w:val="24"/>
        </w:rPr>
        <w:tab/>
      </w:r>
      <w:r>
        <w:rPr>
          <w:b/>
          <w:sz w:val="24"/>
        </w:rPr>
        <w:tab/>
      </w:r>
      <w:r>
        <w:rPr>
          <w:b/>
          <w:sz w:val="24"/>
        </w:rPr>
        <w:tab/>
        <w:t>_____________________________</w:t>
      </w:r>
    </w:p>
    <w:p w:rsidR="00000000" w:rsidRDefault="00674E18">
      <w:pPr>
        <w:jc w:val="both"/>
        <w:rPr>
          <w:b/>
          <w:sz w:val="24"/>
        </w:rPr>
      </w:pPr>
      <w:r>
        <w:rPr>
          <w:b/>
          <w:sz w:val="24"/>
        </w:rPr>
        <w:tab/>
      </w:r>
      <w:r>
        <w:rPr>
          <w:b/>
          <w:sz w:val="24"/>
        </w:rPr>
        <w:tab/>
      </w:r>
      <w:r>
        <w:rPr>
          <w:b/>
          <w:sz w:val="24"/>
        </w:rPr>
        <w:tab/>
      </w:r>
      <w:r>
        <w:rPr>
          <w:b/>
          <w:sz w:val="24"/>
        </w:rPr>
        <w:tab/>
      </w:r>
      <w:r>
        <w:rPr>
          <w:b/>
          <w:sz w:val="24"/>
        </w:rPr>
        <w:tab/>
      </w:r>
      <w:r>
        <w:rPr>
          <w:b/>
          <w:sz w:val="24"/>
        </w:rPr>
        <w:tab/>
      </w:r>
      <w:r>
        <w:rPr>
          <w:b/>
          <w:sz w:val="24"/>
        </w:rPr>
        <w:tab/>
        <w:t>Mark B. Smith (0014371)</w:t>
      </w:r>
    </w:p>
    <w:p w:rsidR="00000000" w:rsidRDefault="00674E18">
      <w:pPr>
        <w:jc w:val="both"/>
        <w:rPr>
          <w:b/>
          <w:sz w:val="24"/>
        </w:rPr>
      </w:pPr>
      <w:r>
        <w:rPr>
          <w:b/>
          <w:sz w:val="24"/>
        </w:rPr>
        <w:tab/>
      </w:r>
      <w:r>
        <w:rPr>
          <w:b/>
          <w:sz w:val="24"/>
        </w:rPr>
        <w:tab/>
      </w:r>
      <w:r>
        <w:rPr>
          <w:b/>
          <w:sz w:val="24"/>
        </w:rPr>
        <w:tab/>
      </w:r>
      <w:r>
        <w:rPr>
          <w:b/>
          <w:sz w:val="24"/>
        </w:rPr>
        <w:tab/>
      </w:r>
      <w:r>
        <w:rPr>
          <w:b/>
          <w:sz w:val="24"/>
        </w:rPr>
        <w:tab/>
      </w:r>
      <w:r>
        <w:rPr>
          <w:b/>
          <w:sz w:val="24"/>
        </w:rPr>
        <w:tab/>
      </w:r>
      <w:r>
        <w:rPr>
          <w:b/>
          <w:sz w:val="24"/>
        </w:rPr>
        <w:tab/>
        <w:t>Attorney for Plaintiff</w:t>
      </w:r>
    </w:p>
    <w:p w:rsidR="00000000" w:rsidRDefault="00674E18">
      <w:pPr>
        <w:jc w:val="both"/>
        <w:rPr>
          <w:b/>
          <w:sz w:val="24"/>
        </w:rPr>
      </w:pPr>
      <w:r>
        <w:rPr>
          <w:b/>
          <w:sz w:val="24"/>
        </w:rPr>
        <w:tab/>
      </w:r>
      <w:r>
        <w:rPr>
          <w:b/>
          <w:sz w:val="24"/>
        </w:rPr>
        <w:tab/>
      </w:r>
      <w:r>
        <w:rPr>
          <w:b/>
          <w:sz w:val="24"/>
        </w:rPr>
        <w:tab/>
      </w:r>
      <w:r>
        <w:rPr>
          <w:b/>
          <w:sz w:val="24"/>
        </w:rPr>
        <w:tab/>
      </w:r>
      <w:r>
        <w:rPr>
          <w:b/>
          <w:sz w:val="24"/>
        </w:rPr>
        <w:tab/>
      </w:r>
      <w:r>
        <w:rPr>
          <w:b/>
          <w:sz w:val="24"/>
        </w:rPr>
        <w:tab/>
      </w:r>
      <w:r>
        <w:rPr>
          <w:b/>
          <w:sz w:val="24"/>
        </w:rPr>
        <w:tab/>
        <w:t>400 Holland Pen Building</w:t>
      </w:r>
    </w:p>
    <w:p w:rsidR="00000000" w:rsidRDefault="00674E18">
      <w:pPr>
        <w:jc w:val="both"/>
        <w:rPr>
          <w:b/>
          <w:sz w:val="24"/>
        </w:rPr>
      </w:pPr>
      <w:r>
        <w:rPr>
          <w:b/>
          <w:sz w:val="24"/>
        </w:rPr>
        <w:tab/>
      </w:r>
      <w:r>
        <w:rPr>
          <w:b/>
          <w:sz w:val="24"/>
        </w:rPr>
        <w:tab/>
      </w:r>
      <w:r>
        <w:rPr>
          <w:b/>
          <w:sz w:val="24"/>
        </w:rPr>
        <w:tab/>
      </w:r>
      <w:r>
        <w:rPr>
          <w:b/>
          <w:sz w:val="24"/>
        </w:rPr>
        <w:tab/>
      </w:r>
      <w:r>
        <w:rPr>
          <w:b/>
          <w:sz w:val="24"/>
        </w:rPr>
        <w:tab/>
      </w:r>
      <w:r>
        <w:rPr>
          <w:b/>
          <w:sz w:val="24"/>
        </w:rPr>
        <w:tab/>
      </w:r>
      <w:r>
        <w:rPr>
          <w:b/>
          <w:sz w:val="24"/>
        </w:rPr>
        <w:tab/>
        <w:t>123 East Fourth Street</w:t>
      </w:r>
    </w:p>
    <w:p w:rsidR="00000000" w:rsidRDefault="00674E18">
      <w:pPr>
        <w:jc w:val="both"/>
        <w:rPr>
          <w:b/>
          <w:sz w:val="24"/>
        </w:rPr>
      </w:pPr>
      <w:r>
        <w:rPr>
          <w:b/>
          <w:sz w:val="24"/>
        </w:rPr>
        <w:tab/>
      </w:r>
      <w:r>
        <w:rPr>
          <w:b/>
          <w:sz w:val="24"/>
        </w:rPr>
        <w:tab/>
      </w:r>
      <w:r>
        <w:rPr>
          <w:b/>
          <w:sz w:val="24"/>
        </w:rPr>
        <w:tab/>
      </w:r>
      <w:r>
        <w:rPr>
          <w:b/>
          <w:sz w:val="24"/>
        </w:rPr>
        <w:tab/>
      </w:r>
      <w:r>
        <w:rPr>
          <w:b/>
          <w:sz w:val="24"/>
        </w:rPr>
        <w:tab/>
      </w:r>
      <w:r>
        <w:rPr>
          <w:b/>
          <w:sz w:val="24"/>
        </w:rPr>
        <w:tab/>
      </w:r>
      <w:r>
        <w:rPr>
          <w:b/>
          <w:sz w:val="24"/>
        </w:rPr>
        <w:tab/>
        <w:t>Cincinnati, Ohio 45202</w:t>
      </w:r>
    </w:p>
    <w:p w:rsidR="00000000" w:rsidRDefault="00674E18">
      <w:pPr>
        <w:jc w:val="both"/>
        <w:rPr>
          <w:b/>
          <w:sz w:val="24"/>
        </w:rPr>
      </w:pPr>
      <w:r>
        <w:rPr>
          <w:b/>
          <w:sz w:val="24"/>
        </w:rPr>
        <w:tab/>
      </w:r>
      <w:r>
        <w:rPr>
          <w:b/>
          <w:sz w:val="24"/>
        </w:rPr>
        <w:tab/>
      </w:r>
      <w:r>
        <w:rPr>
          <w:b/>
          <w:sz w:val="24"/>
        </w:rPr>
        <w:tab/>
      </w:r>
      <w:r>
        <w:rPr>
          <w:b/>
          <w:sz w:val="24"/>
        </w:rPr>
        <w:tab/>
      </w:r>
      <w:r>
        <w:rPr>
          <w:b/>
          <w:sz w:val="24"/>
        </w:rPr>
        <w:tab/>
      </w:r>
      <w:r>
        <w:rPr>
          <w:b/>
          <w:sz w:val="24"/>
        </w:rPr>
        <w:tab/>
      </w:r>
      <w:r>
        <w:rPr>
          <w:b/>
          <w:sz w:val="24"/>
        </w:rPr>
        <w:tab/>
        <w:t>(513) 287-7447</w:t>
      </w:r>
    </w:p>
    <w:p w:rsidR="00000000" w:rsidRDefault="00674E18">
      <w:pPr>
        <w:jc w:val="both"/>
        <w:rPr>
          <w:sz w:val="24"/>
        </w:rPr>
      </w:pPr>
      <w:r>
        <w:rPr>
          <w:sz w:val="24"/>
        </w:rPr>
        <w:tab/>
      </w:r>
      <w:r>
        <w:rPr>
          <w:sz w:val="24"/>
        </w:rPr>
        <w:tab/>
      </w:r>
      <w:r>
        <w:rPr>
          <w:sz w:val="24"/>
        </w:rPr>
        <w:tab/>
      </w:r>
      <w:r>
        <w:rPr>
          <w:sz w:val="24"/>
        </w:rPr>
        <w:tab/>
      </w:r>
      <w:r>
        <w:rPr>
          <w:sz w:val="24"/>
        </w:rPr>
        <w:tab/>
      </w:r>
      <w:r>
        <w:rPr>
          <w:sz w:val="24"/>
        </w:rPr>
        <w:tab/>
      </w:r>
      <w:r>
        <w:rPr>
          <w:sz w:val="24"/>
        </w:rPr>
        <w:tab/>
      </w:r>
      <w:r>
        <w:rPr>
          <w:b/>
          <w:sz w:val="24"/>
        </w:rPr>
        <w:t>Fax:  287-7446</w:t>
      </w:r>
    </w:p>
    <w:p w:rsidR="00000000" w:rsidRDefault="00674E18">
      <w:pPr>
        <w:jc w:val="both"/>
        <w:rPr>
          <w:sz w:val="24"/>
        </w:rPr>
      </w:pPr>
    </w:p>
    <w:p w:rsidR="00000000" w:rsidRDefault="00674E18">
      <w:pPr>
        <w:jc w:val="both"/>
        <w:rPr>
          <w:sz w:val="24"/>
        </w:rPr>
      </w:pPr>
    </w:p>
    <w:p w:rsidR="00000000" w:rsidRDefault="00674E18">
      <w:pPr>
        <w:jc w:val="center"/>
        <w:rPr>
          <w:sz w:val="24"/>
          <w:u w:val="single"/>
        </w:rPr>
      </w:pPr>
      <w:r>
        <w:rPr>
          <w:b/>
          <w:sz w:val="24"/>
          <w:u w:val="single"/>
        </w:rPr>
        <w:t>CERTIFICATE OF SERVICE</w:t>
      </w:r>
    </w:p>
    <w:p w:rsidR="00000000" w:rsidRDefault="00674E18">
      <w:pPr>
        <w:jc w:val="center"/>
        <w:rPr>
          <w:sz w:val="24"/>
          <w:u w:val="single"/>
        </w:rPr>
      </w:pPr>
    </w:p>
    <w:p w:rsidR="00000000" w:rsidRDefault="00674E18">
      <w:pPr>
        <w:spacing w:line="480" w:lineRule="auto"/>
        <w:jc w:val="both"/>
        <w:rPr>
          <w:sz w:val="24"/>
        </w:rPr>
      </w:pPr>
      <w:r>
        <w:rPr>
          <w:sz w:val="24"/>
        </w:rPr>
        <w:tab/>
        <w:t xml:space="preserve">A copy of this Motion In Limine Regarding Informed Consent was served upon the following, via ordinary mail postage prepaid, on August </w:t>
      </w:r>
      <w:r>
        <w:rPr>
          <w:sz w:val="24"/>
        </w:rPr>
        <w:t>30</w:t>
      </w:r>
      <w:r>
        <w:rPr>
          <w:sz w:val="24"/>
        </w:rPr>
        <w:t>, 1999:</w:t>
      </w:r>
    </w:p>
    <w:p w:rsidR="00000000" w:rsidRDefault="00674E18">
      <w:pPr>
        <w:ind w:left="2880"/>
        <w:jc w:val="both"/>
        <w:rPr>
          <w:sz w:val="24"/>
        </w:rPr>
      </w:pPr>
      <w:r>
        <w:rPr>
          <w:sz w:val="24"/>
        </w:rPr>
        <w:t>David W. Peck, Esq.</w:t>
      </w:r>
    </w:p>
    <w:p w:rsidR="00000000" w:rsidRDefault="00674E18">
      <w:pPr>
        <w:ind w:left="2880"/>
        <w:jc w:val="both"/>
        <w:rPr>
          <w:sz w:val="24"/>
        </w:rPr>
      </w:pPr>
      <w:r>
        <w:rPr>
          <w:sz w:val="24"/>
        </w:rPr>
        <w:t>Rendigs, Fry, Kiely &amp; Dennis, LLP</w:t>
      </w:r>
    </w:p>
    <w:p w:rsidR="00000000" w:rsidRDefault="00674E18">
      <w:pPr>
        <w:ind w:left="2880"/>
        <w:jc w:val="both"/>
        <w:rPr>
          <w:sz w:val="24"/>
        </w:rPr>
      </w:pPr>
      <w:r>
        <w:rPr>
          <w:sz w:val="24"/>
        </w:rPr>
        <w:t>900 Fourth &amp; Vine Tower</w:t>
      </w:r>
    </w:p>
    <w:p w:rsidR="00000000" w:rsidRDefault="00674E18">
      <w:pPr>
        <w:ind w:left="2880"/>
        <w:jc w:val="both"/>
        <w:rPr>
          <w:sz w:val="24"/>
        </w:rPr>
      </w:pPr>
      <w:r>
        <w:rPr>
          <w:sz w:val="24"/>
        </w:rPr>
        <w:t>Five West Fourth Street</w:t>
      </w:r>
    </w:p>
    <w:p w:rsidR="00000000" w:rsidRDefault="00674E18">
      <w:pPr>
        <w:ind w:left="2880"/>
        <w:jc w:val="both"/>
        <w:rPr>
          <w:sz w:val="24"/>
        </w:rPr>
      </w:pPr>
      <w:r>
        <w:rPr>
          <w:sz w:val="24"/>
        </w:rPr>
        <w:t>Cincinnati, Ohio  45202-3688</w:t>
      </w:r>
    </w:p>
    <w:p w:rsidR="00000000" w:rsidRDefault="00674E18">
      <w:pPr>
        <w:ind w:left="2880"/>
        <w:jc w:val="both"/>
        <w:rPr>
          <w:sz w:val="24"/>
        </w:rPr>
      </w:pPr>
      <w:r>
        <w:rPr>
          <w:sz w:val="24"/>
        </w:rPr>
        <w:t>Attorney For Defendants</w:t>
      </w:r>
    </w:p>
    <w:p w:rsidR="00000000" w:rsidRDefault="00674E18">
      <w:pPr>
        <w:ind w:left="2160"/>
        <w:jc w:val="both"/>
        <w:rPr>
          <w:b/>
          <w:sz w:val="24"/>
        </w:rPr>
      </w:pPr>
    </w:p>
    <w:p w:rsidR="00000000" w:rsidRDefault="00674E18">
      <w:pPr>
        <w:ind w:left="4320" w:firstLine="720"/>
        <w:jc w:val="both"/>
        <w:rPr>
          <w:b/>
          <w:sz w:val="24"/>
        </w:rPr>
      </w:pPr>
      <w:r>
        <w:rPr>
          <w:b/>
          <w:sz w:val="24"/>
        </w:rPr>
        <w:t>______________________________</w:t>
      </w:r>
    </w:p>
    <w:p w:rsidR="00000000" w:rsidRDefault="00674E18">
      <w:pPr>
        <w:jc w:val="both"/>
        <w:rPr>
          <w:b/>
          <w:sz w:val="24"/>
        </w:rPr>
      </w:pPr>
      <w:r>
        <w:rPr>
          <w:b/>
          <w:sz w:val="24"/>
        </w:rPr>
        <w:tab/>
      </w:r>
      <w:r>
        <w:rPr>
          <w:b/>
          <w:sz w:val="24"/>
        </w:rPr>
        <w:tab/>
      </w:r>
      <w:r>
        <w:rPr>
          <w:b/>
          <w:sz w:val="24"/>
        </w:rPr>
        <w:tab/>
      </w:r>
      <w:r>
        <w:rPr>
          <w:b/>
          <w:sz w:val="24"/>
        </w:rPr>
        <w:tab/>
      </w:r>
      <w:r>
        <w:rPr>
          <w:b/>
          <w:sz w:val="24"/>
        </w:rPr>
        <w:tab/>
      </w:r>
      <w:r>
        <w:rPr>
          <w:b/>
          <w:sz w:val="24"/>
        </w:rPr>
        <w:tab/>
      </w:r>
      <w:r>
        <w:rPr>
          <w:b/>
          <w:sz w:val="24"/>
        </w:rPr>
        <w:tab/>
        <w:t>Mark B. S</w:t>
      </w:r>
      <w:r>
        <w:rPr>
          <w:b/>
          <w:sz w:val="24"/>
        </w:rPr>
        <w:t xml:space="preserve">mith </w:t>
      </w:r>
    </w:p>
    <w:p w:rsidR="00000000" w:rsidRDefault="00674E18">
      <w:pPr>
        <w:ind w:left="2160"/>
        <w:jc w:val="both"/>
        <w:rPr>
          <w:sz w:val="24"/>
        </w:rPr>
      </w:pPr>
    </w:p>
    <w:p w:rsidR="00000000" w:rsidRDefault="00674E18">
      <w:pPr>
        <w:ind w:left="2160"/>
        <w:jc w:val="both"/>
        <w:rPr>
          <w:sz w:val="24"/>
        </w:rPr>
      </w:pPr>
    </w:p>
    <w:p w:rsidR="00000000" w:rsidRDefault="00674E18">
      <w:pPr>
        <w:ind w:left="2160"/>
        <w:jc w:val="both"/>
        <w:rPr>
          <w:sz w:val="24"/>
        </w:rPr>
      </w:pPr>
    </w:p>
    <w:p w:rsidR="00000000" w:rsidRDefault="00674E18">
      <w:pPr>
        <w:jc w:val="center"/>
        <w:rPr>
          <w:b/>
          <w:sz w:val="24"/>
        </w:rPr>
      </w:pPr>
    </w:p>
    <w:p w:rsidR="00000000" w:rsidRDefault="00674E18">
      <w:pPr>
        <w:jc w:val="center"/>
        <w:rPr>
          <w:b/>
          <w:sz w:val="24"/>
        </w:rPr>
      </w:pPr>
    </w:p>
    <w:p w:rsidR="00000000" w:rsidRDefault="00674E18">
      <w:pPr>
        <w:jc w:val="center"/>
        <w:rPr>
          <w:b/>
          <w:sz w:val="24"/>
        </w:rPr>
      </w:pPr>
    </w:p>
    <w:p w:rsidR="00000000" w:rsidRDefault="00674E18">
      <w:pPr>
        <w:jc w:val="center"/>
        <w:rPr>
          <w:b/>
          <w:sz w:val="24"/>
        </w:rPr>
      </w:pPr>
    </w:p>
    <w:p w:rsidR="00000000" w:rsidRDefault="00674E18">
      <w:pPr>
        <w:jc w:val="center"/>
        <w:rPr>
          <w:b/>
          <w:sz w:val="24"/>
        </w:rPr>
      </w:pPr>
      <w:r>
        <w:rPr>
          <w:b/>
          <w:sz w:val="24"/>
        </w:rPr>
        <w:t>IN THE COURT OF COMMON PLEAS</w:t>
      </w:r>
    </w:p>
    <w:p w:rsidR="00000000" w:rsidRDefault="00674E18">
      <w:pPr>
        <w:jc w:val="center"/>
        <w:rPr>
          <w:b/>
          <w:sz w:val="24"/>
        </w:rPr>
      </w:pPr>
      <w:r>
        <w:rPr>
          <w:b/>
          <w:sz w:val="24"/>
        </w:rPr>
        <w:t>HAMILTON COUNTY, OHIO</w:t>
      </w:r>
    </w:p>
    <w:p w:rsidR="00000000" w:rsidRDefault="00674E18">
      <w:pPr>
        <w:jc w:val="center"/>
        <w:rPr>
          <w:b/>
          <w:sz w:val="24"/>
        </w:rPr>
      </w:pPr>
    </w:p>
    <w:p w:rsidR="00000000" w:rsidRDefault="00674E18">
      <w:pPr>
        <w:jc w:val="center"/>
        <w:rPr>
          <w:b/>
          <w:sz w:val="24"/>
        </w:rPr>
      </w:pPr>
    </w:p>
    <w:p w:rsidR="00000000" w:rsidRDefault="00674E18">
      <w:pPr>
        <w:jc w:val="both"/>
        <w:rPr>
          <w:b/>
          <w:sz w:val="24"/>
        </w:rPr>
      </w:pPr>
    </w:p>
    <w:p w:rsidR="00000000" w:rsidRDefault="00674E18">
      <w:pPr>
        <w:jc w:val="both"/>
        <w:rPr>
          <w:b/>
          <w:sz w:val="24"/>
        </w:rPr>
      </w:pPr>
      <w:r>
        <w:rPr>
          <w:b/>
          <w:sz w:val="24"/>
        </w:rPr>
        <w:t>SHELLY CARNES</w:t>
      </w:r>
      <w:r>
        <w:rPr>
          <w:b/>
          <w:sz w:val="24"/>
        </w:rPr>
        <w:tab/>
      </w:r>
      <w:r>
        <w:rPr>
          <w:b/>
          <w:sz w:val="24"/>
        </w:rPr>
        <w:tab/>
      </w:r>
      <w:r>
        <w:rPr>
          <w:b/>
          <w:sz w:val="24"/>
        </w:rPr>
        <w:tab/>
      </w:r>
      <w:r>
        <w:rPr>
          <w:b/>
          <w:sz w:val="24"/>
        </w:rPr>
        <w:tab/>
        <w:t>)</w:t>
      </w:r>
      <w:r>
        <w:rPr>
          <w:b/>
          <w:sz w:val="24"/>
        </w:rPr>
        <w:tab/>
        <w:t>Case No. A97-01226</w:t>
      </w:r>
    </w:p>
    <w:p w:rsidR="00000000" w:rsidRDefault="00674E18">
      <w:pPr>
        <w:jc w:val="both"/>
        <w:rPr>
          <w:b/>
          <w:sz w:val="24"/>
        </w:rPr>
      </w:pPr>
      <w:r>
        <w:rPr>
          <w:b/>
          <w:sz w:val="24"/>
        </w:rPr>
        <w:tab/>
      </w:r>
      <w:r>
        <w:rPr>
          <w:b/>
          <w:sz w:val="24"/>
        </w:rPr>
        <w:tab/>
      </w:r>
      <w:r>
        <w:rPr>
          <w:b/>
          <w:sz w:val="24"/>
        </w:rPr>
        <w:tab/>
      </w:r>
      <w:r>
        <w:rPr>
          <w:b/>
          <w:sz w:val="24"/>
        </w:rPr>
        <w:tab/>
      </w:r>
      <w:r>
        <w:rPr>
          <w:b/>
          <w:sz w:val="24"/>
        </w:rPr>
        <w:tab/>
        <w:t xml:space="preserve"> </w:t>
      </w:r>
      <w:r>
        <w:rPr>
          <w:b/>
          <w:sz w:val="24"/>
        </w:rPr>
        <w:tab/>
      </w:r>
    </w:p>
    <w:p w:rsidR="00000000" w:rsidRDefault="00674E18">
      <w:pPr>
        <w:jc w:val="both"/>
        <w:rPr>
          <w:b/>
          <w:sz w:val="24"/>
        </w:rPr>
      </w:pPr>
      <w:r>
        <w:rPr>
          <w:b/>
          <w:sz w:val="24"/>
        </w:rPr>
        <w:tab/>
      </w:r>
      <w:r>
        <w:rPr>
          <w:b/>
          <w:sz w:val="24"/>
        </w:rPr>
        <w:tab/>
      </w:r>
      <w:r>
        <w:rPr>
          <w:b/>
          <w:sz w:val="24"/>
        </w:rPr>
        <w:tab/>
        <w:t>Plaintiff,</w:t>
      </w:r>
      <w:r>
        <w:rPr>
          <w:b/>
          <w:sz w:val="24"/>
        </w:rPr>
        <w:tab/>
      </w:r>
      <w:r>
        <w:rPr>
          <w:b/>
          <w:sz w:val="24"/>
        </w:rPr>
        <w:tab/>
        <w:t>)</w:t>
      </w:r>
      <w:r>
        <w:rPr>
          <w:b/>
          <w:sz w:val="24"/>
        </w:rPr>
        <w:tab/>
        <w:t>HON. NORBERT A. NADEL</w:t>
      </w:r>
    </w:p>
    <w:p w:rsidR="00000000" w:rsidRDefault="00674E18">
      <w:pPr>
        <w:jc w:val="both"/>
        <w:rPr>
          <w:b/>
          <w:sz w:val="24"/>
        </w:rPr>
      </w:pPr>
      <w:r>
        <w:rPr>
          <w:b/>
          <w:sz w:val="24"/>
        </w:rPr>
        <w:tab/>
      </w:r>
      <w:r>
        <w:rPr>
          <w:b/>
          <w:sz w:val="24"/>
        </w:rPr>
        <w:tab/>
      </w:r>
      <w:r>
        <w:rPr>
          <w:b/>
          <w:sz w:val="24"/>
        </w:rPr>
        <w:tab/>
      </w:r>
      <w:r>
        <w:rPr>
          <w:b/>
          <w:sz w:val="24"/>
        </w:rPr>
        <w:tab/>
      </w:r>
      <w:r>
        <w:rPr>
          <w:b/>
          <w:sz w:val="24"/>
        </w:rPr>
        <w:tab/>
      </w:r>
      <w:r>
        <w:rPr>
          <w:b/>
          <w:sz w:val="24"/>
        </w:rPr>
        <w:tab/>
      </w:r>
      <w:r>
        <w:rPr>
          <w:b/>
          <w:sz w:val="24"/>
        </w:rPr>
        <w:tab/>
        <w:t>(HON. RICHARD A. BERNAT)</w:t>
      </w:r>
      <w:r>
        <w:rPr>
          <w:b/>
          <w:sz w:val="24"/>
        </w:rPr>
        <w:tab/>
      </w:r>
    </w:p>
    <w:p w:rsidR="00000000" w:rsidRDefault="00674E18">
      <w:pPr>
        <w:jc w:val="both"/>
        <w:rPr>
          <w:b/>
          <w:sz w:val="24"/>
        </w:rPr>
      </w:pPr>
      <w:r>
        <w:rPr>
          <w:b/>
          <w:sz w:val="24"/>
        </w:rPr>
        <w:t>vs.</w:t>
      </w:r>
      <w:r>
        <w:rPr>
          <w:b/>
          <w:sz w:val="24"/>
        </w:rPr>
        <w:tab/>
      </w:r>
      <w:r>
        <w:rPr>
          <w:b/>
          <w:sz w:val="24"/>
        </w:rPr>
        <w:tab/>
      </w:r>
      <w:r>
        <w:rPr>
          <w:b/>
          <w:sz w:val="24"/>
        </w:rPr>
        <w:tab/>
      </w:r>
      <w:r>
        <w:rPr>
          <w:b/>
          <w:sz w:val="24"/>
        </w:rPr>
        <w:tab/>
      </w:r>
      <w:r>
        <w:rPr>
          <w:b/>
          <w:sz w:val="24"/>
        </w:rPr>
        <w:tab/>
      </w:r>
      <w:r>
        <w:rPr>
          <w:b/>
          <w:sz w:val="24"/>
        </w:rPr>
        <w:tab/>
        <w:t>)</w:t>
      </w:r>
      <w:r>
        <w:rPr>
          <w:b/>
          <w:sz w:val="24"/>
        </w:rPr>
        <w:tab/>
      </w:r>
      <w:r>
        <w:rPr>
          <w:b/>
          <w:sz w:val="24"/>
        </w:rPr>
        <w:tab/>
      </w:r>
      <w:r>
        <w:rPr>
          <w:b/>
          <w:sz w:val="24"/>
        </w:rPr>
        <w:tab/>
      </w:r>
    </w:p>
    <w:p w:rsidR="00000000" w:rsidRDefault="00674E18">
      <w:pPr>
        <w:jc w:val="both"/>
        <w:rPr>
          <w:b/>
          <w:sz w:val="24"/>
        </w:rPr>
      </w:pPr>
      <w:r>
        <w:rPr>
          <w:b/>
          <w:sz w:val="24"/>
        </w:rPr>
        <w:tab/>
      </w:r>
      <w:r>
        <w:rPr>
          <w:b/>
          <w:sz w:val="24"/>
        </w:rPr>
        <w:tab/>
      </w:r>
      <w:r>
        <w:rPr>
          <w:b/>
          <w:sz w:val="24"/>
        </w:rPr>
        <w:tab/>
      </w:r>
      <w:r>
        <w:rPr>
          <w:b/>
          <w:sz w:val="24"/>
        </w:rPr>
        <w:tab/>
      </w:r>
      <w:r>
        <w:rPr>
          <w:b/>
          <w:sz w:val="24"/>
        </w:rPr>
        <w:tab/>
      </w:r>
      <w:r>
        <w:rPr>
          <w:b/>
          <w:sz w:val="24"/>
        </w:rPr>
        <w:tab/>
      </w:r>
      <w:r>
        <w:rPr>
          <w:b/>
          <w:sz w:val="24"/>
        </w:rPr>
        <w:tab/>
        <w:t>ORDER GRANTING</w:t>
      </w:r>
    </w:p>
    <w:p w:rsidR="00000000" w:rsidRDefault="00674E18">
      <w:pPr>
        <w:jc w:val="both"/>
        <w:rPr>
          <w:b/>
          <w:sz w:val="24"/>
        </w:rPr>
      </w:pPr>
      <w:r>
        <w:rPr>
          <w:b/>
          <w:sz w:val="24"/>
        </w:rPr>
        <w:t>MARK B. HANDLER, M.D., et</w:t>
      </w:r>
      <w:r>
        <w:rPr>
          <w:b/>
          <w:sz w:val="24"/>
        </w:rPr>
        <w:tab/>
      </w:r>
      <w:r>
        <w:rPr>
          <w:b/>
          <w:sz w:val="24"/>
        </w:rPr>
        <w:tab/>
        <w:t>)</w:t>
      </w:r>
      <w:r>
        <w:rPr>
          <w:b/>
          <w:sz w:val="24"/>
        </w:rPr>
        <w:tab/>
        <w:t>PLAINTIFF’S MOTION</w:t>
      </w:r>
    </w:p>
    <w:p w:rsidR="00000000" w:rsidRDefault="00674E18">
      <w:pPr>
        <w:jc w:val="both"/>
        <w:rPr>
          <w:b/>
          <w:sz w:val="24"/>
        </w:rPr>
      </w:pPr>
      <w:r>
        <w:rPr>
          <w:b/>
          <w:sz w:val="24"/>
        </w:rPr>
        <w:t>al.</w:t>
      </w:r>
      <w:r>
        <w:rPr>
          <w:b/>
          <w:sz w:val="24"/>
        </w:rPr>
        <w:tab/>
      </w:r>
      <w:r>
        <w:rPr>
          <w:b/>
          <w:sz w:val="24"/>
        </w:rPr>
        <w:tab/>
      </w:r>
      <w:r>
        <w:rPr>
          <w:b/>
          <w:sz w:val="24"/>
        </w:rPr>
        <w:tab/>
      </w:r>
      <w:r>
        <w:rPr>
          <w:b/>
          <w:sz w:val="24"/>
        </w:rPr>
        <w:tab/>
      </w:r>
      <w:r>
        <w:rPr>
          <w:b/>
          <w:sz w:val="24"/>
        </w:rPr>
        <w:tab/>
      </w:r>
      <w:r>
        <w:rPr>
          <w:b/>
          <w:sz w:val="24"/>
        </w:rPr>
        <w:tab/>
      </w:r>
      <w:r>
        <w:rPr>
          <w:b/>
          <w:sz w:val="24"/>
        </w:rPr>
        <w:tab/>
        <w:t>IN LIMINE REGARDING</w:t>
      </w:r>
      <w:r>
        <w:rPr>
          <w:b/>
          <w:sz w:val="24"/>
        </w:rPr>
        <w:tab/>
      </w:r>
    </w:p>
    <w:p w:rsidR="00000000" w:rsidRDefault="00674E18">
      <w:pPr>
        <w:jc w:val="both"/>
        <w:rPr>
          <w:b/>
          <w:sz w:val="24"/>
        </w:rPr>
      </w:pPr>
      <w:r>
        <w:rPr>
          <w:b/>
          <w:sz w:val="24"/>
        </w:rPr>
        <w:tab/>
      </w:r>
      <w:r>
        <w:rPr>
          <w:b/>
          <w:sz w:val="24"/>
        </w:rPr>
        <w:tab/>
      </w:r>
      <w:r>
        <w:rPr>
          <w:b/>
          <w:sz w:val="24"/>
        </w:rPr>
        <w:tab/>
        <w:t>Defendants.</w:t>
      </w:r>
      <w:r>
        <w:rPr>
          <w:b/>
          <w:sz w:val="24"/>
        </w:rPr>
        <w:tab/>
      </w:r>
      <w:r>
        <w:rPr>
          <w:b/>
          <w:sz w:val="24"/>
        </w:rPr>
        <w:tab/>
        <w:t>)</w:t>
      </w:r>
      <w:r>
        <w:rPr>
          <w:b/>
          <w:sz w:val="24"/>
        </w:rPr>
        <w:tab/>
        <w:t>INFORMED CONSENT</w:t>
      </w:r>
    </w:p>
    <w:p w:rsidR="00000000" w:rsidRDefault="00674E18">
      <w:pPr>
        <w:jc w:val="both"/>
        <w:rPr>
          <w:b/>
          <w:sz w:val="24"/>
        </w:rPr>
      </w:pPr>
    </w:p>
    <w:p w:rsidR="00000000" w:rsidRDefault="00674E18">
      <w:pPr>
        <w:pBdr>
          <w:bottom w:val="single" w:sz="12" w:space="1" w:color="auto"/>
        </w:pBdr>
        <w:jc w:val="both"/>
        <w:rPr>
          <w:b/>
          <w:sz w:val="24"/>
          <w:u w:val="single"/>
        </w:rPr>
      </w:pPr>
    </w:p>
    <w:p w:rsidR="00000000" w:rsidRDefault="00674E18">
      <w:pPr>
        <w:jc w:val="both"/>
        <w:rPr>
          <w:sz w:val="24"/>
          <w:u w:val="single"/>
        </w:rPr>
      </w:pPr>
    </w:p>
    <w:p w:rsidR="00000000" w:rsidRDefault="00674E18">
      <w:pPr>
        <w:spacing w:line="480" w:lineRule="auto"/>
        <w:ind w:firstLine="720"/>
        <w:jc w:val="both"/>
        <w:rPr>
          <w:sz w:val="24"/>
        </w:rPr>
      </w:pPr>
    </w:p>
    <w:p w:rsidR="00000000" w:rsidRDefault="00674E18">
      <w:pPr>
        <w:spacing w:line="480" w:lineRule="auto"/>
        <w:ind w:firstLine="720"/>
        <w:jc w:val="both"/>
        <w:rPr>
          <w:sz w:val="24"/>
        </w:rPr>
      </w:pPr>
      <w:r>
        <w:rPr>
          <w:sz w:val="24"/>
        </w:rPr>
        <w:t xml:space="preserve">Upon motion of Plaintiff, and for good cause shown, Defendants are precluded from offering evidence or argument pertaining to Plaintiff’s informed consent or lack thereof.  </w:t>
      </w:r>
      <w:r>
        <w:rPr>
          <w:sz w:val="24"/>
        </w:rPr>
        <w:t>No reference to this issue shall be allowed at trial.</w:t>
      </w:r>
    </w:p>
    <w:p w:rsidR="00000000" w:rsidRDefault="00674E18">
      <w:pPr>
        <w:spacing w:line="480" w:lineRule="auto"/>
        <w:jc w:val="both"/>
        <w:rPr>
          <w:sz w:val="24"/>
        </w:rPr>
      </w:pPr>
    </w:p>
    <w:p w:rsidR="00000000" w:rsidRDefault="00674E18">
      <w:pPr>
        <w:spacing w:line="480" w:lineRule="auto"/>
        <w:jc w:val="both"/>
        <w:rPr>
          <w:sz w:val="24"/>
        </w:rPr>
      </w:pPr>
    </w:p>
    <w:p w:rsidR="00000000" w:rsidRDefault="00674E18">
      <w:pPr>
        <w:jc w:val="both"/>
        <w:rPr>
          <w:b/>
          <w:sz w:val="24"/>
        </w:rPr>
      </w:pPr>
      <w:r>
        <w:rPr>
          <w:b/>
          <w:sz w:val="24"/>
        </w:rPr>
        <w:t>Date: ______________________</w:t>
      </w:r>
      <w:r>
        <w:rPr>
          <w:b/>
          <w:sz w:val="24"/>
        </w:rPr>
        <w:tab/>
      </w:r>
      <w:r>
        <w:rPr>
          <w:b/>
          <w:sz w:val="24"/>
        </w:rPr>
        <w:tab/>
      </w:r>
      <w:r>
        <w:rPr>
          <w:b/>
          <w:sz w:val="24"/>
        </w:rPr>
        <w:tab/>
        <w:t>______________________________</w:t>
      </w:r>
    </w:p>
    <w:p w:rsidR="00000000" w:rsidRDefault="00674E18">
      <w:pPr>
        <w:jc w:val="both"/>
      </w:pPr>
      <w:r>
        <w:rPr>
          <w:sz w:val="24"/>
        </w:rPr>
        <w:tab/>
      </w:r>
      <w:r>
        <w:rPr>
          <w:sz w:val="24"/>
        </w:rPr>
        <w:tab/>
      </w:r>
      <w:r>
        <w:rPr>
          <w:sz w:val="24"/>
        </w:rPr>
        <w:tab/>
      </w:r>
      <w:r>
        <w:rPr>
          <w:sz w:val="24"/>
        </w:rPr>
        <w:tab/>
      </w:r>
      <w:r>
        <w:rPr>
          <w:sz w:val="24"/>
        </w:rPr>
        <w:tab/>
      </w:r>
      <w:r>
        <w:rPr>
          <w:sz w:val="24"/>
        </w:rPr>
        <w:tab/>
      </w:r>
      <w:r>
        <w:rPr>
          <w:sz w:val="24"/>
        </w:rPr>
        <w:tab/>
      </w:r>
      <w:r>
        <w:rPr>
          <w:b/>
          <w:sz w:val="24"/>
        </w:rPr>
        <w:t>HON. RICHARD A. BERNAT</w:t>
      </w:r>
    </w:p>
    <w:p w:rsidR="00000000" w:rsidRDefault="00674E18">
      <w:pPr>
        <w:ind w:left="2160"/>
        <w:jc w:val="both"/>
        <w:rPr>
          <w:sz w:val="24"/>
        </w:rPr>
      </w:pPr>
    </w:p>
    <w:sectPr w:rsidR="00000000">
      <w:footnotePr>
        <w:pos w:val="sectEnd"/>
      </w:footnotePr>
      <w:endnotePr>
        <w:numFmt w:val="decimal"/>
        <w:numStart w:val="0"/>
      </w:endnotePr>
      <w:pgSz w:w="12240" w:h="15840"/>
      <w:pgMar w:top="1440" w:right="1800" w:bottom="1008"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0000" w:rsidRDefault="00674E18">
      <w:r>
        <w:separator/>
      </w:r>
    </w:p>
  </w:endnote>
  <w:endnote w:type="continuationSeparator" w:id="1">
    <w:p w:rsidR="00000000" w:rsidRDefault="00674E18">
      <w:r>
        <w:continuationSeparator/>
      </w:r>
    </w:p>
  </w:endnote>
</w:endnotes>
</file>

<file path=word/fontTable.xml><?xml version="1.0" encoding="utf-8"?>
<w:fonts xmlns:r="http://schemas.openxmlformats.org/officeDocument/2006/relationships" xmlns:w="http://schemas.openxmlformats.org/wordprocessingml/2006/main">
  <w:font w:name="MS Sans Serif">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0000" w:rsidRDefault="00674E18">
      <w:r>
        <w:separator/>
      </w:r>
    </w:p>
  </w:footnote>
  <w:footnote w:type="continuationSeparator" w:id="1">
    <w:p w:rsidR="00000000" w:rsidRDefault="00674E18">
      <w:r>
        <w:continuationSeparator/>
      </w:r>
    </w:p>
  </w:footnote>
  <w:footnote w:id="2">
    <w:p w:rsidR="00000000" w:rsidRDefault="00674E18">
      <w:pPr>
        <w:pStyle w:val="FootnoteText"/>
      </w:pPr>
      <w:r>
        <w:rPr>
          <w:rStyle w:val="FootnoteReference"/>
        </w:rPr>
        <w:footnoteRef/>
      </w:r>
      <w:r>
        <w:t xml:space="preserve"> </w:t>
      </w:r>
      <w:r>
        <w:rPr>
          <w:rFonts w:ascii="Arial" w:hAnsi="Arial"/>
          <w:sz w:val="22"/>
        </w:rPr>
        <w:t>Copy attached.</w:t>
      </w:r>
    </w:p>
  </w:footnote>
  <w:footnote w:id="3">
    <w:p w:rsidR="00000000" w:rsidRDefault="00674E18">
      <w:pPr>
        <w:pStyle w:val="FootnoteText"/>
      </w:pPr>
      <w:r>
        <w:rPr>
          <w:rStyle w:val="FootnoteReference"/>
        </w:rPr>
        <w:footnoteRef/>
      </w:r>
      <w:r>
        <w:t xml:space="preserve"> </w:t>
      </w:r>
      <w:r>
        <w:rPr>
          <w:rFonts w:ascii="Arial" w:hAnsi="Arial"/>
          <w:sz w:val="22"/>
        </w:rPr>
        <w:t>A proposed Order is attached.</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footnotePr>
    <w:pos w:val="sectEnd"/>
    <w:footnote w:id="0"/>
    <w:footnote w:id="1"/>
  </w:footnotePr>
  <w:endnotePr>
    <w:pos w:val="sectEnd"/>
    <w:numFmt w:val="decimal"/>
    <w:numStart w:val="0"/>
    <w:endnote w:id="0"/>
    <w:endnote w:id="1"/>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74E18"/>
    <w:rsid w:val="00674E1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S Sans Serif" w:eastAsia="Times New Roman" w:hAnsi="MS Sans Serif"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Times New Roman" w:hAnsi="Times New Roman"/>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754</Words>
  <Characters>4253</Characters>
  <Application>Microsoft Office Word</Application>
  <DocSecurity>4</DocSecurity>
  <Lines>35</Lines>
  <Paragraphs>9</Paragraphs>
  <ScaleCrop>false</ScaleCrop>
  <HeadingPairs>
    <vt:vector size="2" baseType="variant">
      <vt:variant>
        <vt:lpstr>COURT OF COMMON PLEAS</vt:lpstr>
      </vt:variant>
      <vt:variant>
        <vt:i4>0</vt:i4>
      </vt:variant>
    </vt:vector>
  </HeadingPairs>
  <Company> </Company>
  <LinksUpToDate>false</LinksUpToDate>
  <CharactersWithSpaces>4998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 OF COMMON PLEAS</dc:title>
  <dc:subject/>
  <dc:creator>NEC Authorized Customer</dc:creator>
  <cp:keywords/>
  <dc:description/>
  <cp:lastModifiedBy>Morgan Adams</cp:lastModifiedBy>
  <cp:revision>2</cp:revision>
  <cp:lastPrinted>1999-08-27T19:47:00Z</cp:lastPrinted>
  <dcterms:created xsi:type="dcterms:W3CDTF">2008-06-24T17:30:00Z</dcterms:created>
  <dcterms:modified xsi:type="dcterms:W3CDTF">2008-06-24T17:30:00Z</dcterms:modified>
</cp:coreProperties>
</file>